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96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0E6107B7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3B71A7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1239D05F" w14:textId="6FCEC4E2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D228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4EFB750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0B2DAC0F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317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F7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5F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A8BC3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15E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2FB816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2163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717980E9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6DCC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2DB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69AC" w14:textId="77777777"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BB22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E46A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14:paraId="5D5352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09662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04450B9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6584D11E" w14:textId="77777777" w:rsidTr="003016CC">
        <w:tc>
          <w:tcPr>
            <w:tcW w:w="2126" w:type="dxa"/>
          </w:tcPr>
          <w:p w14:paraId="67D9A858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241C1CAD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1225C" w14:paraId="30E31E33" w14:textId="77777777" w:rsidTr="003016CC">
        <w:tc>
          <w:tcPr>
            <w:tcW w:w="2126" w:type="dxa"/>
          </w:tcPr>
          <w:p w14:paraId="3357558C" w14:textId="77777777" w:rsidR="003016CC" w:rsidRPr="00B1225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879BA0C" w14:textId="77777777" w:rsidR="003016CC" w:rsidRPr="00B1225C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14:paraId="0C1D763D" w14:textId="77777777" w:rsidTr="003016CC">
        <w:tc>
          <w:tcPr>
            <w:tcW w:w="2126" w:type="dxa"/>
          </w:tcPr>
          <w:p w14:paraId="140A5B14" w14:textId="77777777" w:rsidR="00FB6822" w:rsidRPr="00B1225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6C54CBDB" w14:textId="77777777" w:rsidR="00FB6822" w:rsidRPr="00B1225C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14DC85E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0C9F8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7F51E984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0478727B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1BCC8DC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11690FB9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068CF7AA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905E4DC" w14:textId="58A7D611"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14:paraId="2229BD4A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AF0AC28" w14:textId="77777777" w:rsidR="00CD2289" w:rsidRPr="00CC3E41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6E0933C6" w14:textId="77777777" w:rsidR="00CD2289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492E41C3" w14:textId="72142A70" w:rsidR="00FF6373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</w:t>
      </w:r>
    </w:p>
    <w:p w14:paraId="7A7C2F37" w14:textId="77777777" w:rsidR="00CD2289" w:rsidRPr="007A18F6" w:rsidRDefault="00CD2289" w:rsidP="00CD228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E9DAF28" w14:textId="77777777" w:rsidR="00FF6373" w:rsidRDefault="00FF6373" w:rsidP="00FF6373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DD792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14:paraId="525558CA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3C0D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DD5689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F19DA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DD38CBF" w14:textId="6DEE767F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DB3D4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3F0E7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18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47CB4F3B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AB6E16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4AB322A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6B02584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E9BEB88" w14:textId="77777777" w:rsidR="0036646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2422CF9F" w14:textId="77777777" w:rsidR="00445A01" w:rsidRPr="001133BE" w:rsidRDefault="00445A0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2E2A64" w14:textId="1D7FB4AC" w:rsidR="00445A01" w:rsidRDefault="00445A01" w:rsidP="00445A01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A238AF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509F54BC" w14:textId="77777777" w:rsidR="00CC7B35" w:rsidRDefault="00CC7B35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EA78B30" w14:textId="7056E51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C936E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F05075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C5D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2EF67E13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14F7C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1565D0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93AD33F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0C6D03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62F580D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151C4C9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68F7399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F696FA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3AEE62E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654A8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8C7C73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335225" w14:textId="15CC2704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032344">
        <w:rPr>
          <w:rFonts w:ascii="Calibri" w:eastAsia="Times New Roman" w:hAnsi="Calibri" w:cs="Calibri"/>
          <w:b/>
          <w:sz w:val="24"/>
          <w:szCs w:val="24"/>
          <w:lang w:eastAsia="hu-HU"/>
        </w:rPr>
        <w:t>462 mellék vagy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8A3C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1C5DE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62E306E4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C548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93F857" w14:textId="46925D9A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20</w:t>
      </w:r>
      <w:r w:rsidR="0086658F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126A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32344">
        <w:rPr>
          <w:rFonts w:ascii="Calibri" w:eastAsia="Times New Roman" w:hAnsi="Calibri" w:cs="Calibri"/>
          <w:b/>
          <w:sz w:val="24"/>
          <w:szCs w:val="24"/>
          <w:lang w:eastAsia="hu-HU"/>
        </w:rPr>
        <w:t>november 25-én 10:00-11:00</w:t>
      </w:r>
      <w:r w:rsidR="00FE416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2BAB0304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9F6906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308CEA57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2906D94F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06CB6D0A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22DB18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653C05FA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4ABE34F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03C0B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D25850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6C39D3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9F331E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1CEA4D1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F95B25A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CE80B0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CFBC75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2D0C9D9" w14:textId="23B29FA8" w:rsidR="00CD2289" w:rsidRDefault="003956C1" w:rsidP="00CD228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CD2289" w:rsidRP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61CCE267" w14:textId="77777777" w:rsidR="00C428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EE19CC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0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0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1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1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68606945" w14:textId="77777777" w:rsidR="00E662AD" w:rsidRPr="00907D9D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552C5E25" w14:textId="77777777" w:rsidR="00B1225C" w:rsidRPr="00391A0E" w:rsidRDefault="00B1225C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A1BB222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272931F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30CD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E90624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41642C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50C02F1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8D991C6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DBA1194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6411A89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A39CFD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CA579F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A905411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DF5D9D4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BB2890F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4B40E5A1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3B641E2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21F4DC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7BB5A44" w14:textId="77777777" w:rsidR="004F559B" w:rsidRPr="00391A0E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829AFA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72802C1A" w14:textId="089EFE00" w:rsidR="004F559B" w:rsidRP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4F559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A238AF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4F559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eredménytelen.</w:t>
      </w:r>
    </w:p>
    <w:p w14:paraId="4319B46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B4C7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E662A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11FB495B" w14:textId="5B6C9C76" w:rsidR="003956C1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eredménytelen.</w:t>
      </w:r>
    </w:p>
    <w:p w14:paraId="47BA917F" w14:textId="77777777" w:rsidR="004F559B" w:rsidRPr="00391A0E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39ECC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93D0A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5D0334B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4C9BFE" w14:textId="1C4A14B0" w:rsidR="00B564DB" w:rsidRPr="00391A0E" w:rsidRDefault="00E662AD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909074A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A695536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75F6BC59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A4AA54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272610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DEC33F1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916F4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65EE20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06D0F7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F78A97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D8CC9CE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26A819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0B8CC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24123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DADD96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7379AA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0F551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40F1C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89557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A1543B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2941B6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CABAB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69988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E618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BFEE4D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25E8A5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5AF8A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01078A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A8B04C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E3151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ADBC25" w14:textId="77777777"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1117C3B7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57BC0903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63B2A782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C5DE5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(159. sz. helyiség)</w:t>
      </w:r>
    </w:p>
    <w:p w14:paraId="57D103E3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088EF741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FB03FA5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Terület:</w:t>
      </w:r>
      <w:r w:rsidRPr="001C5DE5">
        <w:rPr>
          <w:rFonts w:ascii="Calibri" w:eastAsia="Calibri" w:hAnsi="Calibri" w:cs="Calibri"/>
          <w:sz w:val="24"/>
          <w:szCs w:val="24"/>
        </w:rPr>
        <w:t xml:space="preserve"> 48,00 m</w:t>
      </w:r>
      <w:r w:rsidRPr="001C5DE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7867E46" w14:textId="77777777" w:rsidR="00A94229" w:rsidRPr="001C5DE5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1C5DE5">
        <w:rPr>
          <w:rFonts w:ascii="Calibri" w:eastAsia="Calibri" w:hAnsi="Calibri" w:cs="Calibri"/>
          <w:sz w:val="24"/>
          <w:szCs w:val="24"/>
        </w:rPr>
        <w:t xml:space="preserve"> Bp-M3/LEH-AL-GAL/É-2</w:t>
      </w:r>
    </w:p>
    <w:p w14:paraId="5DA71B78" w14:textId="77777777"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6ED5B4D7" w14:textId="77777777"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7878BAD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4606312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698A60B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5926DE05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320408E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47596027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4ACA867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56957C50" w14:textId="77777777"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3FCEF748" w14:textId="77777777"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14:paraId="01F1666B" w14:textId="77777777"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24F2C182" w14:textId="77777777" w:rsidR="00A94229" w:rsidRPr="001C5DE5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közműdíj</w:t>
      </w:r>
    </w:p>
    <w:p w14:paraId="0FF65945" w14:textId="77777777"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78CB69A8" w14:textId="77777777"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2EA137B6" w14:textId="77777777"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79E3075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Ivóvíz ellátás: van</w:t>
      </w:r>
    </w:p>
    <w:p w14:paraId="159CDC90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3DC638E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Szennyvíz hálózat: van</w:t>
      </w:r>
    </w:p>
    <w:p w14:paraId="7881154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Elektromos energia: van</w:t>
      </w:r>
    </w:p>
    <w:p w14:paraId="0B19790B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-</w:t>
      </w:r>
    </w:p>
    <w:p w14:paraId="6B455C68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Gázellátás: nincs</w:t>
      </w:r>
    </w:p>
    <w:p w14:paraId="5EF6F193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429E6E8B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Hőszolgáltatás: nincs</w:t>
      </w:r>
    </w:p>
    <w:p w14:paraId="530391AD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4AF8891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B1139F" w14:textId="77777777" w:rsidR="00A94229" w:rsidRPr="001C5DE5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A bérleményben leltári tárgyak</w:t>
      </w:r>
      <w:r w:rsidR="001C5DE5">
        <w:rPr>
          <w:rFonts w:ascii="Calibri" w:eastAsia="Calibri" w:hAnsi="Calibri" w:cs="Calibri"/>
          <w:sz w:val="24"/>
          <w:szCs w:val="24"/>
        </w:rPr>
        <w:t xml:space="preserve"> nincsenek</w:t>
      </w:r>
      <w:r w:rsidRPr="001C5DE5">
        <w:rPr>
          <w:rFonts w:ascii="Calibri" w:eastAsia="Calibri" w:hAnsi="Calibri" w:cs="Calibri"/>
          <w:sz w:val="24"/>
          <w:szCs w:val="24"/>
        </w:rPr>
        <w:t>.</w:t>
      </w:r>
    </w:p>
    <w:p w14:paraId="134A9ECB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30BA980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1672CEC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6E330E2F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37B4009C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F88367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779E4C3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0EDFDEA3" w14:textId="77777777" w:rsidR="00A94229" w:rsidRDefault="00A94229" w:rsidP="00E13F67">
      <w:pPr>
        <w:spacing w:after="0"/>
        <w:outlineLvl w:val="2"/>
        <w:rPr>
          <w:noProof/>
        </w:rPr>
      </w:pPr>
    </w:p>
    <w:p w14:paraId="3D6CCD49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4664695F" wp14:editId="152B3C2E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3A98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A30A139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36B05BF2" wp14:editId="26C42556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D57B" w14:textId="64077CD7" w:rsidR="004F559B" w:rsidRDefault="004F559B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Bérlemény elhelyezkedése és alaprajza:</w:t>
      </w:r>
    </w:p>
    <w:p w14:paraId="36A5F6E7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4DD92696" wp14:editId="1EAA3A3C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DC4AD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D6EE2A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21F94D20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4108A3B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0388DF4D" wp14:editId="34EB35BC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3EFD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B6424D3" w14:textId="77777777" w:rsidR="00A94229" w:rsidRPr="004621A4" w:rsidRDefault="00A94229" w:rsidP="00E13F67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>Készítette: Ingatlanhasznosítási Osztály</w:t>
      </w:r>
    </w:p>
    <w:p w14:paraId="4BE5B52D" w14:textId="77777777" w:rsidR="002A13CC" w:rsidRPr="004621A4" w:rsidRDefault="00A94229" w:rsidP="00E13F67">
      <w:pPr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4621A4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98E4" w14:textId="77777777" w:rsidR="003D443E" w:rsidRDefault="003D443E" w:rsidP="00C01EE0">
      <w:pPr>
        <w:spacing w:after="0" w:line="240" w:lineRule="auto"/>
      </w:pPr>
      <w:r>
        <w:separator/>
      </w:r>
    </w:p>
  </w:endnote>
  <w:endnote w:type="continuationSeparator" w:id="0">
    <w:p w14:paraId="731928EE" w14:textId="77777777" w:rsidR="003D443E" w:rsidRDefault="003D443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2E736BD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14:paraId="2B2BDC8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E1D0" w14:textId="77777777" w:rsidR="003D443E" w:rsidRDefault="003D443E" w:rsidP="00C01EE0">
      <w:pPr>
        <w:spacing w:after="0" w:line="240" w:lineRule="auto"/>
      </w:pPr>
      <w:r>
        <w:separator/>
      </w:r>
    </w:p>
  </w:footnote>
  <w:footnote w:type="continuationSeparator" w:id="0">
    <w:p w14:paraId="6FDD1544" w14:textId="77777777" w:rsidR="003D443E" w:rsidRDefault="003D443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8426">
    <w:abstractNumId w:val="10"/>
  </w:num>
  <w:num w:numId="2" w16cid:durableId="1162309100">
    <w:abstractNumId w:val="15"/>
  </w:num>
  <w:num w:numId="3" w16cid:durableId="20984454">
    <w:abstractNumId w:val="5"/>
  </w:num>
  <w:num w:numId="4" w16cid:durableId="1361469717">
    <w:abstractNumId w:val="13"/>
  </w:num>
  <w:num w:numId="5" w16cid:durableId="1976451380">
    <w:abstractNumId w:val="3"/>
  </w:num>
  <w:num w:numId="6" w16cid:durableId="948968617">
    <w:abstractNumId w:val="4"/>
  </w:num>
  <w:num w:numId="7" w16cid:durableId="2108764532">
    <w:abstractNumId w:val="2"/>
  </w:num>
  <w:num w:numId="8" w16cid:durableId="591085863">
    <w:abstractNumId w:val="7"/>
  </w:num>
  <w:num w:numId="9" w16cid:durableId="1503734954">
    <w:abstractNumId w:val="8"/>
  </w:num>
  <w:num w:numId="10" w16cid:durableId="2143695095">
    <w:abstractNumId w:val="16"/>
  </w:num>
  <w:num w:numId="11" w16cid:durableId="905141256">
    <w:abstractNumId w:val="0"/>
  </w:num>
  <w:num w:numId="12" w16cid:durableId="695543574">
    <w:abstractNumId w:val="14"/>
  </w:num>
  <w:num w:numId="13" w16cid:durableId="587928132">
    <w:abstractNumId w:val="11"/>
  </w:num>
  <w:num w:numId="14" w16cid:durableId="2004773053">
    <w:abstractNumId w:val="9"/>
  </w:num>
  <w:num w:numId="15" w16cid:durableId="2002002036">
    <w:abstractNumId w:val="12"/>
  </w:num>
  <w:num w:numId="16" w16cid:durableId="1293052169">
    <w:abstractNumId w:val="6"/>
  </w:num>
  <w:num w:numId="17" w16cid:durableId="106695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2344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C0077"/>
    <w:rsid w:val="000C218D"/>
    <w:rsid w:val="000D2FFF"/>
    <w:rsid w:val="000D319B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5DE5"/>
    <w:rsid w:val="001C6BD8"/>
    <w:rsid w:val="001D7723"/>
    <w:rsid w:val="001F3A8D"/>
    <w:rsid w:val="001F77C5"/>
    <w:rsid w:val="001F7BAB"/>
    <w:rsid w:val="0020096A"/>
    <w:rsid w:val="0020706C"/>
    <w:rsid w:val="0021435C"/>
    <w:rsid w:val="0022121A"/>
    <w:rsid w:val="00225196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2062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95924"/>
    <w:rsid w:val="003B1A3B"/>
    <w:rsid w:val="003B5980"/>
    <w:rsid w:val="003C1A3E"/>
    <w:rsid w:val="003D219F"/>
    <w:rsid w:val="003D2EB2"/>
    <w:rsid w:val="003D443E"/>
    <w:rsid w:val="003D6C55"/>
    <w:rsid w:val="003E0C01"/>
    <w:rsid w:val="003E5EFF"/>
    <w:rsid w:val="003F0E76"/>
    <w:rsid w:val="003F6B37"/>
    <w:rsid w:val="00407740"/>
    <w:rsid w:val="00421EA6"/>
    <w:rsid w:val="004224D6"/>
    <w:rsid w:val="004364A5"/>
    <w:rsid w:val="0044194C"/>
    <w:rsid w:val="00443348"/>
    <w:rsid w:val="00443627"/>
    <w:rsid w:val="00445A01"/>
    <w:rsid w:val="0045081D"/>
    <w:rsid w:val="00452FEE"/>
    <w:rsid w:val="00454BD8"/>
    <w:rsid w:val="004621A4"/>
    <w:rsid w:val="0047260A"/>
    <w:rsid w:val="00483D44"/>
    <w:rsid w:val="00485355"/>
    <w:rsid w:val="004911D9"/>
    <w:rsid w:val="004913B8"/>
    <w:rsid w:val="004B0562"/>
    <w:rsid w:val="004B335D"/>
    <w:rsid w:val="004C2004"/>
    <w:rsid w:val="004D0890"/>
    <w:rsid w:val="004D555C"/>
    <w:rsid w:val="004F2FAA"/>
    <w:rsid w:val="004F4ACC"/>
    <w:rsid w:val="004F559B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36D87"/>
    <w:rsid w:val="00540DA6"/>
    <w:rsid w:val="00544F8B"/>
    <w:rsid w:val="00554761"/>
    <w:rsid w:val="0055737E"/>
    <w:rsid w:val="005678FB"/>
    <w:rsid w:val="00572462"/>
    <w:rsid w:val="00591105"/>
    <w:rsid w:val="00593F99"/>
    <w:rsid w:val="005953C7"/>
    <w:rsid w:val="00596FF1"/>
    <w:rsid w:val="005B3E95"/>
    <w:rsid w:val="005C491B"/>
    <w:rsid w:val="005D29CE"/>
    <w:rsid w:val="005E23BC"/>
    <w:rsid w:val="005F56FC"/>
    <w:rsid w:val="00602860"/>
    <w:rsid w:val="00613051"/>
    <w:rsid w:val="00620E8D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0402"/>
    <w:rsid w:val="006A5AFD"/>
    <w:rsid w:val="006B1278"/>
    <w:rsid w:val="006B2B81"/>
    <w:rsid w:val="006B4915"/>
    <w:rsid w:val="006B6FCF"/>
    <w:rsid w:val="006C074B"/>
    <w:rsid w:val="006D750A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7873"/>
    <w:rsid w:val="00771FD1"/>
    <w:rsid w:val="00774341"/>
    <w:rsid w:val="007967A8"/>
    <w:rsid w:val="007A4A26"/>
    <w:rsid w:val="007B04E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CA9"/>
    <w:rsid w:val="008A3DAE"/>
    <w:rsid w:val="008C3CB8"/>
    <w:rsid w:val="008C4EDF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42A43"/>
    <w:rsid w:val="00945677"/>
    <w:rsid w:val="0095085F"/>
    <w:rsid w:val="0095090A"/>
    <w:rsid w:val="009511CA"/>
    <w:rsid w:val="00954DA2"/>
    <w:rsid w:val="00955CBA"/>
    <w:rsid w:val="00960F00"/>
    <w:rsid w:val="00964BE5"/>
    <w:rsid w:val="00974D11"/>
    <w:rsid w:val="009758EC"/>
    <w:rsid w:val="009776B6"/>
    <w:rsid w:val="00981DA5"/>
    <w:rsid w:val="009823A2"/>
    <w:rsid w:val="00983032"/>
    <w:rsid w:val="00986C05"/>
    <w:rsid w:val="00997682"/>
    <w:rsid w:val="009A1005"/>
    <w:rsid w:val="009A2BC1"/>
    <w:rsid w:val="009A2CC8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238AF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25C"/>
    <w:rsid w:val="00B126AD"/>
    <w:rsid w:val="00B12FE1"/>
    <w:rsid w:val="00B15404"/>
    <w:rsid w:val="00B27193"/>
    <w:rsid w:val="00B337B3"/>
    <w:rsid w:val="00B3552A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93FB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5A49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2B1F"/>
    <w:rsid w:val="00C45D0C"/>
    <w:rsid w:val="00C61533"/>
    <w:rsid w:val="00C77664"/>
    <w:rsid w:val="00C913E3"/>
    <w:rsid w:val="00C91AE0"/>
    <w:rsid w:val="00C91BB0"/>
    <w:rsid w:val="00C92A7B"/>
    <w:rsid w:val="00CA1819"/>
    <w:rsid w:val="00CA3B0E"/>
    <w:rsid w:val="00CA527F"/>
    <w:rsid w:val="00CA5C34"/>
    <w:rsid w:val="00CA7BBD"/>
    <w:rsid w:val="00CB38CB"/>
    <w:rsid w:val="00CC3E41"/>
    <w:rsid w:val="00CC7B35"/>
    <w:rsid w:val="00CD2289"/>
    <w:rsid w:val="00CE07F6"/>
    <w:rsid w:val="00CE5731"/>
    <w:rsid w:val="00CE5837"/>
    <w:rsid w:val="00CE5944"/>
    <w:rsid w:val="00CE5EA4"/>
    <w:rsid w:val="00CE6FB3"/>
    <w:rsid w:val="00CE7351"/>
    <w:rsid w:val="00CF1610"/>
    <w:rsid w:val="00CF2CF5"/>
    <w:rsid w:val="00CF6A62"/>
    <w:rsid w:val="00D073AB"/>
    <w:rsid w:val="00D105CF"/>
    <w:rsid w:val="00D24427"/>
    <w:rsid w:val="00D25010"/>
    <w:rsid w:val="00D322DA"/>
    <w:rsid w:val="00D33050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3D4E"/>
    <w:rsid w:val="00DB56AB"/>
    <w:rsid w:val="00DC7594"/>
    <w:rsid w:val="00DD2425"/>
    <w:rsid w:val="00DD75E9"/>
    <w:rsid w:val="00DD792E"/>
    <w:rsid w:val="00DE6061"/>
    <w:rsid w:val="00E0364B"/>
    <w:rsid w:val="00E03773"/>
    <w:rsid w:val="00E06413"/>
    <w:rsid w:val="00E12180"/>
    <w:rsid w:val="00E13F67"/>
    <w:rsid w:val="00E14902"/>
    <w:rsid w:val="00E17128"/>
    <w:rsid w:val="00E24349"/>
    <w:rsid w:val="00E24E44"/>
    <w:rsid w:val="00E27EE9"/>
    <w:rsid w:val="00E47B13"/>
    <w:rsid w:val="00E51F40"/>
    <w:rsid w:val="00E662AD"/>
    <w:rsid w:val="00E77B9C"/>
    <w:rsid w:val="00E83A68"/>
    <w:rsid w:val="00E96143"/>
    <w:rsid w:val="00EA0E99"/>
    <w:rsid w:val="00EA22D7"/>
    <w:rsid w:val="00EA268C"/>
    <w:rsid w:val="00EB076A"/>
    <w:rsid w:val="00EB62E6"/>
    <w:rsid w:val="00EC6D27"/>
    <w:rsid w:val="00ED0F68"/>
    <w:rsid w:val="00ED1A1F"/>
    <w:rsid w:val="00ED23A6"/>
    <w:rsid w:val="00ED2452"/>
    <w:rsid w:val="00ED560D"/>
    <w:rsid w:val="00ED64EC"/>
    <w:rsid w:val="00EE1110"/>
    <w:rsid w:val="00EE2C5F"/>
    <w:rsid w:val="00EE34A9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1472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C7F12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E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74F0-8A31-4FF2-BC73-F2370DE6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1667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2025-11-18T14:10:00Z</dcterms:created>
  <dcterms:modified xsi:type="dcterms:W3CDTF">2025-11-18T14:10:00Z</dcterms:modified>
</cp:coreProperties>
</file>